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4C" w:rsidRPr="008363EC" w:rsidRDefault="00120A9D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8363EC">
        <w:rPr>
          <w:rFonts w:cs="2  Titr" w:hint="cs"/>
          <w:sz w:val="24"/>
          <w:szCs w:val="24"/>
          <w:rtl/>
          <w:lang w:bidi="fa-IR"/>
        </w:rPr>
        <w:t>باسمه تعالی</w:t>
      </w:r>
    </w:p>
    <w:p w:rsidR="00942E4C" w:rsidRPr="008363EC" w:rsidRDefault="00CD14C4" w:rsidP="00942E4C">
      <w:pPr>
        <w:spacing w:after="0" w:line="240" w:lineRule="auto"/>
        <w:jc w:val="center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 xml:space="preserve">اعضاء </w:t>
      </w:r>
      <w:r w:rsidR="00942E4C" w:rsidRPr="008363EC">
        <w:rPr>
          <w:rFonts w:cs="2  Titr" w:hint="cs"/>
          <w:sz w:val="24"/>
          <w:szCs w:val="24"/>
          <w:rtl/>
          <w:lang w:bidi="fa-IR"/>
        </w:rPr>
        <w:t>نشست های تخصصی کنگره بین المللی نهج البلاغه</w:t>
      </w:r>
    </w:p>
    <w:tbl>
      <w:tblPr>
        <w:tblStyle w:val="TableGrid"/>
        <w:tblW w:w="9761" w:type="dxa"/>
        <w:tblInd w:w="-635" w:type="dxa"/>
        <w:tblLook w:val="04A0" w:firstRow="1" w:lastRow="0" w:firstColumn="1" w:lastColumn="0" w:noHBand="0" w:noVBand="1"/>
      </w:tblPr>
      <w:tblGrid>
        <w:gridCol w:w="3960"/>
        <w:gridCol w:w="2877"/>
        <w:gridCol w:w="1173"/>
        <w:gridCol w:w="1008"/>
        <w:gridCol w:w="743"/>
      </w:tblGrid>
      <w:tr w:rsidR="00241A35" w:rsidRPr="00120A9D" w:rsidTr="00241A35">
        <w:trPr>
          <w:trHeight w:val="820"/>
        </w:trPr>
        <w:tc>
          <w:tcPr>
            <w:tcW w:w="3960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877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اعضاء کمسیون</w:t>
            </w:r>
          </w:p>
        </w:tc>
        <w:tc>
          <w:tcPr>
            <w:tcW w:w="1173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مسئول کمسیون</w:t>
            </w:r>
          </w:p>
        </w:tc>
        <w:tc>
          <w:tcPr>
            <w:tcW w:w="1008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743" w:type="dxa"/>
          </w:tcPr>
          <w:p w:rsidR="00942E4C" w:rsidRPr="00120A9D" w:rsidRDefault="00942E4C" w:rsidP="00CA4184">
            <w:pPr>
              <w:jc w:val="right"/>
              <w:rPr>
                <w:rFonts w:cs="2  Titr"/>
                <w:sz w:val="24"/>
                <w:szCs w:val="24"/>
                <w:lang w:bidi="fa-IR"/>
              </w:rPr>
            </w:pPr>
            <w:r w:rsidRPr="00120A9D">
              <w:rPr>
                <w:rFonts w:cs="2 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91DA8" w:rsidRPr="00120A9D" w:rsidTr="00241A35">
        <w:trPr>
          <w:trHeight w:val="321"/>
        </w:trPr>
        <w:tc>
          <w:tcPr>
            <w:tcW w:w="3960" w:type="dxa"/>
            <w:vAlign w:val="bottom"/>
          </w:tcPr>
          <w:p w:rsidR="00791DA8" w:rsidRDefault="00791DA8" w:rsidP="00791DA8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استاد دانشگاه فرهنگیان</w:t>
            </w:r>
          </w:p>
        </w:tc>
        <w:tc>
          <w:tcPr>
            <w:tcW w:w="2877" w:type="dxa"/>
            <w:vAlign w:val="center"/>
          </w:tcPr>
          <w:p w:rsidR="00791DA8" w:rsidRDefault="00791DA8" w:rsidP="00791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علی سالاری</w:t>
            </w:r>
          </w:p>
        </w:tc>
        <w:tc>
          <w:tcPr>
            <w:tcW w:w="1173" w:type="dxa"/>
            <w:vMerge w:val="restart"/>
          </w:tcPr>
          <w:p w:rsidR="00791DA8" w:rsidRPr="00120A9D" w:rsidRDefault="00791DA8" w:rsidP="00791DA8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 w:rsidRPr="009F6983">
              <w:rPr>
                <w:rFonts w:cs="2  Titr"/>
                <w:sz w:val="24"/>
                <w:szCs w:val="24"/>
                <w:rtl/>
                <w:lang w:bidi="fa-IR"/>
              </w:rPr>
              <w:t>جناب آقای</w:t>
            </w:r>
            <w:r w:rsidRPr="009F6983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 دکتر </w:t>
            </w:r>
            <w:r>
              <w:rPr>
                <w:rFonts w:cs="2  Titr" w:hint="cs"/>
                <w:sz w:val="24"/>
                <w:szCs w:val="24"/>
                <w:rtl/>
                <w:lang w:bidi="fa-IR"/>
              </w:rPr>
              <w:t>شاملی</w:t>
            </w:r>
          </w:p>
        </w:tc>
        <w:tc>
          <w:tcPr>
            <w:tcW w:w="1008" w:type="dxa"/>
            <w:vMerge w:val="restart"/>
          </w:tcPr>
          <w:p w:rsidR="00791DA8" w:rsidRDefault="00791DA8" w:rsidP="00791DA8">
            <w:pPr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انسان اخلاقی</w:t>
            </w:r>
          </w:p>
          <w:p w:rsidR="00791DA8" w:rsidRPr="00120A9D" w:rsidRDefault="00791DA8" w:rsidP="00791DA8">
            <w:pPr>
              <w:jc w:val="center"/>
              <w:rPr>
                <w:rFonts w:cs="2  Titr"/>
                <w:sz w:val="24"/>
                <w:szCs w:val="24"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درتراز نهج البلاغه</w:t>
            </w:r>
          </w:p>
        </w:tc>
        <w:tc>
          <w:tcPr>
            <w:tcW w:w="743" w:type="dxa"/>
            <w:vMerge w:val="restart"/>
          </w:tcPr>
          <w:p w:rsidR="00791DA8" w:rsidRPr="00120A9D" w:rsidRDefault="00791DA8" w:rsidP="00791DA8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91DA8" w:rsidRPr="00120A9D" w:rsidTr="00241A35">
        <w:trPr>
          <w:trHeight w:val="441"/>
        </w:trPr>
        <w:tc>
          <w:tcPr>
            <w:tcW w:w="3960" w:type="dxa"/>
            <w:vAlign w:val="bottom"/>
          </w:tcPr>
          <w:p w:rsidR="00791DA8" w:rsidRDefault="00791DA8" w:rsidP="00791DA8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استاد دانشگاه فرهنگیان</w:t>
            </w:r>
          </w:p>
        </w:tc>
        <w:tc>
          <w:tcPr>
            <w:tcW w:w="2877" w:type="dxa"/>
            <w:vAlign w:val="center"/>
          </w:tcPr>
          <w:p w:rsidR="00791DA8" w:rsidRDefault="00791DA8" w:rsidP="00791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محمد خاکی</w:t>
            </w:r>
          </w:p>
        </w:tc>
        <w:tc>
          <w:tcPr>
            <w:tcW w:w="1173" w:type="dxa"/>
            <w:vMerge/>
          </w:tcPr>
          <w:p w:rsidR="00791DA8" w:rsidRPr="009F6983" w:rsidRDefault="00791DA8" w:rsidP="00791DA8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91DA8" w:rsidRDefault="00791DA8" w:rsidP="00791DA8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91DA8" w:rsidRPr="00120A9D" w:rsidRDefault="00791DA8" w:rsidP="00791DA8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91DA8" w:rsidRPr="00120A9D" w:rsidTr="00F90380">
        <w:trPr>
          <w:trHeight w:val="503"/>
        </w:trPr>
        <w:tc>
          <w:tcPr>
            <w:tcW w:w="3960" w:type="dxa"/>
            <w:vAlign w:val="bottom"/>
          </w:tcPr>
          <w:p w:rsidR="00791DA8" w:rsidRDefault="00791DA8" w:rsidP="00791DA8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علوم پزشکی</w:t>
            </w:r>
          </w:p>
        </w:tc>
        <w:tc>
          <w:tcPr>
            <w:tcW w:w="2877" w:type="dxa"/>
            <w:vAlign w:val="center"/>
          </w:tcPr>
          <w:p w:rsidR="00791DA8" w:rsidRDefault="00791DA8" w:rsidP="00791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 قدرت اله مومنی</w:t>
            </w:r>
          </w:p>
        </w:tc>
        <w:tc>
          <w:tcPr>
            <w:tcW w:w="1173" w:type="dxa"/>
            <w:vMerge/>
          </w:tcPr>
          <w:p w:rsidR="00791DA8" w:rsidRPr="009F6983" w:rsidRDefault="00791DA8" w:rsidP="00791DA8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91DA8" w:rsidRDefault="00791DA8" w:rsidP="00791DA8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91DA8" w:rsidRPr="00120A9D" w:rsidRDefault="00791DA8" w:rsidP="00791DA8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791DA8" w:rsidRPr="00120A9D" w:rsidTr="00241A35">
        <w:trPr>
          <w:trHeight w:val="503"/>
        </w:trPr>
        <w:tc>
          <w:tcPr>
            <w:tcW w:w="3960" w:type="dxa"/>
            <w:vAlign w:val="bottom"/>
          </w:tcPr>
          <w:p w:rsidR="00791DA8" w:rsidRDefault="00791DA8" w:rsidP="00791DA8">
            <w:pPr>
              <w:bidi/>
              <w:rPr>
                <w:rFonts w:ascii="Calibri" w:hAnsi="Calibri" w:cs="2  Titr"/>
                <w:color w:val="000000"/>
                <w:rtl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علوم پزشکی</w:t>
            </w:r>
          </w:p>
        </w:tc>
        <w:tc>
          <w:tcPr>
            <w:tcW w:w="2877" w:type="dxa"/>
            <w:vAlign w:val="center"/>
          </w:tcPr>
          <w:p w:rsidR="00791DA8" w:rsidRDefault="00791DA8" w:rsidP="00791D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Calibri" w:hAnsi="Calibri" w:cs="2  Titr" w:hint="cs"/>
                <w:color w:val="000000"/>
                <w:rtl/>
              </w:rPr>
              <w:t>دکترکلاهدوزان</w:t>
            </w:r>
          </w:p>
        </w:tc>
        <w:tc>
          <w:tcPr>
            <w:tcW w:w="1173" w:type="dxa"/>
            <w:vMerge/>
          </w:tcPr>
          <w:p w:rsidR="00791DA8" w:rsidRPr="009F6983" w:rsidRDefault="00791DA8" w:rsidP="00791DA8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791DA8" w:rsidRDefault="00791DA8" w:rsidP="00791DA8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791DA8" w:rsidRPr="00120A9D" w:rsidRDefault="00791DA8" w:rsidP="00791DA8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  <w:tr w:rsidR="0001401C" w:rsidRPr="00120A9D" w:rsidTr="0001401C">
        <w:trPr>
          <w:trHeight w:val="548"/>
        </w:trPr>
        <w:tc>
          <w:tcPr>
            <w:tcW w:w="3960" w:type="dxa"/>
            <w:vAlign w:val="bottom"/>
          </w:tcPr>
          <w:p w:rsidR="0001401C" w:rsidRDefault="0001401C" w:rsidP="00806587">
            <w:pPr>
              <w:bidi/>
              <w:rPr>
                <w:rFonts w:ascii="Calibri" w:hAnsi="Calibri" w:cs="2  Titr"/>
                <w:color w:val="000000"/>
              </w:rPr>
            </w:pPr>
            <w:r>
              <w:rPr>
                <w:rFonts w:ascii="Calibri" w:hAnsi="Calibri" w:cs="2  Titr" w:hint="cs"/>
                <w:color w:val="000000"/>
                <w:rtl/>
              </w:rPr>
              <w:t>هیات علمی دانشگاه خوراسگان</w:t>
            </w:r>
          </w:p>
        </w:tc>
        <w:tc>
          <w:tcPr>
            <w:tcW w:w="2877" w:type="dxa"/>
          </w:tcPr>
          <w:p w:rsidR="0001401C" w:rsidRDefault="0001401C" w:rsidP="00806587">
            <w:pPr>
              <w:jc w:val="right"/>
              <w:rPr>
                <w:rFonts w:cs="2  Titr"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sz w:val="24"/>
                <w:szCs w:val="24"/>
                <w:rtl/>
                <w:lang w:bidi="fa-IR"/>
              </w:rPr>
              <w:t>دکترشمشیری</w:t>
            </w:r>
          </w:p>
        </w:tc>
        <w:tc>
          <w:tcPr>
            <w:tcW w:w="1173" w:type="dxa"/>
            <w:vMerge/>
          </w:tcPr>
          <w:p w:rsidR="0001401C" w:rsidRPr="009F6983" w:rsidRDefault="0001401C" w:rsidP="00806587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:rsidR="0001401C" w:rsidRDefault="0001401C" w:rsidP="00806587">
            <w:pPr>
              <w:rPr>
                <w:rFonts w:cs="2 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dxa"/>
            <w:vMerge/>
          </w:tcPr>
          <w:p w:rsidR="0001401C" w:rsidRPr="00120A9D" w:rsidRDefault="0001401C" w:rsidP="00806587">
            <w:pPr>
              <w:pStyle w:val="ListParagraph"/>
              <w:numPr>
                <w:ilvl w:val="0"/>
                <w:numId w:val="6"/>
              </w:numPr>
              <w:rPr>
                <w:rFonts w:cs="2  Titr"/>
                <w:sz w:val="24"/>
                <w:szCs w:val="24"/>
                <w:lang w:bidi="fa-IR"/>
              </w:rPr>
            </w:pPr>
          </w:p>
        </w:tc>
      </w:tr>
    </w:tbl>
    <w:p w:rsidR="0001401C" w:rsidRDefault="0001401C" w:rsidP="0001401C">
      <w:pPr>
        <w:spacing w:line="240" w:lineRule="auto"/>
        <w:jc w:val="center"/>
        <w:rPr>
          <w:rFonts w:cs="2  Titr"/>
          <w:sz w:val="24"/>
          <w:szCs w:val="24"/>
          <w:lang w:bidi="fa-IR"/>
        </w:rPr>
      </w:pPr>
    </w:p>
    <w:p w:rsidR="0001401C" w:rsidRDefault="0001401C" w:rsidP="0001401C">
      <w:pPr>
        <w:spacing w:line="240" w:lineRule="auto"/>
        <w:jc w:val="center"/>
        <w:rPr>
          <w:rFonts w:cs="2  Titr"/>
          <w:sz w:val="24"/>
          <w:szCs w:val="24"/>
          <w:lang w:bidi="fa-IR"/>
        </w:rPr>
      </w:pPr>
    </w:p>
    <w:p w:rsidR="0001401C" w:rsidRPr="00092A56" w:rsidRDefault="0001401C" w:rsidP="0001401C">
      <w:pPr>
        <w:spacing w:line="240" w:lineRule="auto"/>
        <w:jc w:val="center"/>
        <w:rPr>
          <w:rFonts w:cs="2  Titr"/>
          <w:sz w:val="24"/>
          <w:szCs w:val="24"/>
          <w:lang w:bidi="fa-IR"/>
        </w:rPr>
      </w:pP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>((</w:t>
      </w:r>
      <w:r w:rsidRPr="004C39BE">
        <w:rPr>
          <w:rFonts w:ascii="Tahoma" w:hAnsi="Tahoma" w:cs="2  Titr"/>
          <w:color w:val="000000"/>
          <w:sz w:val="28"/>
          <w:szCs w:val="28"/>
          <w:rtl/>
          <w:lang w:val="en"/>
        </w:rPr>
        <w:t>محورهای کمیسیون</w:t>
      </w:r>
      <w:r>
        <w:rPr>
          <w:rFonts w:ascii="Tahoma" w:hAnsi="Tahoma" w:cs="2  Titr" w:hint="cs"/>
          <w:color w:val="000000"/>
          <w:sz w:val="28"/>
          <w:szCs w:val="28"/>
          <w:rtl/>
          <w:lang w:val="en"/>
        </w:rPr>
        <w:t xml:space="preserve"> </w:t>
      </w:r>
      <w:r w:rsidRPr="00791DA8">
        <w:rPr>
          <w:rFonts w:cs="2  Titr" w:hint="cs"/>
          <w:sz w:val="28"/>
          <w:szCs w:val="28"/>
          <w:u w:val="single"/>
          <w:rtl/>
          <w:lang w:bidi="fa-IR"/>
        </w:rPr>
        <w:t xml:space="preserve">انسان </w:t>
      </w:r>
      <w:r w:rsidRPr="00791DA8">
        <w:rPr>
          <w:rFonts w:cs="2  Titr" w:hint="cs"/>
          <w:sz w:val="24"/>
          <w:szCs w:val="24"/>
          <w:u w:val="single"/>
          <w:rtl/>
          <w:lang w:bidi="fa-IR"/>
        </w:rPr>
        <w:t>اخلاقی</w:t>
      </w:r>
      <w:r w:rsidRPr="00791DA8">
        <w:rPr>
          <w:rFonts w:cs="2  Titr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2  Titr" w:hint="cs"/>
          <w:sz w:val="24"/>
          <w:szCs w:val="24"/>
          <w:rtl/>
          <w:lang w:bidi="fa-IR"/>
        </w:rPr>
        <w:t>درتراز نهج البلاغه))</w:t>
      </w:r>
    </w:p>
    <w:p w:rsidR="00816C35" w:rsidRPr="0001401C" w:rsidRDefault="00816C35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1401C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تعیین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محورهای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علمی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-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پژوهشی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کنگره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و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تعیین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فرم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در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قالب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مورد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نظر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جهت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دریافت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خلاصه</w:t>
      </w:r>
      <w:r w:rsidRPr="0001401C">
        <w:rPr>
          <w:rFonts w:ascii="Arial" w:eastAsia="Times New Roman" w:hAnsi="Arial" w:cs="2  Titr"/>
          <w:color w:val="000000"/>
          <w:sz w:val="24"/>
          <w:szCs w:val="24"/>
          <w:rtl/>
        </w:rPr>
        <w:t xml:space="preserve"> </w:t>
      </w:r>
      <w:r w:rsidRPr="0001401C">
        <w:rPr>
          <w:rFonts w:ascii="Arial" w:eastAsia="Times New Roman" w:hAnsi="Arial" w:cs="2  Titr" w:hint="cs"/>
          <w:color w:val="000000"/>
          <w:sz w:val="24"/>
          <w:szCs w:val="24"/>
          <w:rtl/>
        </w:rPr>
        <w:t>مقالات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انتخاب هیئت داوران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تنظیم چک لیست استاندارد جهت داوری مقالات بر اساس متدولوژی و محتوای علمی مقاله به صورت سخنرانی و پوستر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پیگیری دریافت و ارزیابی مقالات بر اساس شاخص ها و ضوابط مصوب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انتخاب مقالات برگزیده و اعلام به دبیرخانه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تنظیم کتابچه خلاصه مقالات و ارائه به کمیته اجرایی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شناسایی نخبگان در هر کدام از محورها و سفارش مقالات اختصاصی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تنظیم برنامه علمی پیش همایش ها و پنل های تخصصی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((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تنظیم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عناوین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و برنامه سخنرانی ها تعیین سخنران کارگاهها و کرسی های جانبی زمان سخنرانی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 xml:space="preserve"> ها))</w:t>
      </w:r>
    </w:p>
    <w:p w:rsidR="0001401C" w:rsidRPr="0001401C" w:rsidRDefault="0001401C" w:rsidP="0001401C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اظهار نظر درباره موارد ارجاعی از سوی دبیران علمی و اجرایی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</w:rPr>
      </w:pP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 xml:space="preserve">محورهای 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همایش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در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سیاست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جنگ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فردی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اجتماعی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lastRenderedPageBreak/>
        <w:t>اخلاق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تربیت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F53EA">
        <w:rPr>
          <w:rFonts w:ascii="Arial" w:eastAsia="Times New Roman" w:hAnsi="Arial" w:cs="2  Titr" w:hint="cs"/>
          <w:color w:val="000000"/>
          <w:sz w:val="28"/>
          <w:szCs w:val="28"/>
          <w:rtl/>
        </w:rPr>
        <w:t>نوجوان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جامعه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کوفی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دوگانگی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های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اخلاقی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مبانی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مهم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اجتماعی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آخرت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گرایی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در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رفتار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>اخلاق و آزادی(آزاد اندیشی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 xml:space="preserve">، حریت 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>انسانی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)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واژگان کلیدی اخلاق در سخن امام علی علیه السلام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(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صبر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،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تقوا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 xml:space="preserve"> و</w:t>
      </w:r>
      <w:r w:rsidRPr="000F53EA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عدالت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)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مبانی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دلالت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در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نهج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البلاغه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مبانی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فضیلت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در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نهج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البلاغه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ایمان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تاثیرات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دنیا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طلبی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،</w:t>
      </w: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حس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گرایی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گرایی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نفاق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بر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</w:p>
    <w:p w:rsidR="00816C35" w:rsidRPr="000F53EA" w:rsidRDefault="00816C35" w:rsidP="00816C3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آفات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کفر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،</w:t>
      </w: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شرک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نفاق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بی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تقوایی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د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ر اخلاق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سخنرانی های تخصص در همایش کمیسیون اخلاقی</w:t>
      </w:r>
      <w:bookmarkStart w:id="0" w:name="_GoBack"/>
      <w:bookmarkEnd w:id="0"/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 xml:space="preserve">- 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اخلاق و سلامت معنوی در سخن امام علی علیه السلام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۲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اخلاق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تربیت معنوی در سخن امام علی علیه السلام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۳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پدیده مر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گ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و اخلاق در سخن امام علی علیه السلام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۴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معرفت نفس و رابطه آن با اخلاق فردی اجتماعی عرفانی و الهی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۵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توحید و اثر آن در سازندگی اخلاق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۶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معاد و اثر آن در سلوک اخلاقی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کرسی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های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تدریجی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متدولوژی اخلاق در نهج البلاغه و کلام امام علی علیه السلام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۲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اخلاق فرماندهی</w:t>
      </w: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تدبیر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و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مدیریت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اخلاقی</w:t>
      </w: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اخلاق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 w:rsidRPr="00092A56">
        <w:rPr>
          <w:rFonts w:ascii="Arial" w:eastAsia="Times New Roman" w:hAnsi="Arial" w:cs="2  Titr" w:hint="cs"/>
          <w:color w:val="000000"/>
          <w:sz w:val="28"/>
          <w:szCs w:val="28"/>
          <w:rtl/>
        </w:rPr>
        <w:t>نظامی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۳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توحید عرفانی و سلوک اخلاقی در کلام امام علی علیه السلام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۴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ولایت و امامت و آثار آن بر معنویت انسان در تراز نهج البلاغه</w:t>
      </w:r>
    </w:p>
    <w:p w:rsidR="00816C35" w:rsidRPr="00092A56" w:rsidRDefault="00816C35" w:rsidP="00816C35">
      <w:pPr>
        <w:bidi/>
        <w:spacing w:after="0" w:line="240" w:lineRule="auto"/>
        <w:rPr>
          <w:rFonts w:ascii="Times New Roman" w:eastAsia="Times New Roman" w:hAnsi="Times New Roman" w:cs="2  Titr"/>
          <w:sz w:val="32"/>
          <w:szCs w:val="32"/>
          <w:rtl/>
        </w:rPr>
      </w:pPr>
      <w:r w:rsidRPr="00092A56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  <w:lang w:bidi="fa-IR"/>
        </w:rPr>
        <w:t>۵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-</w:t>
      </w:r>
      <w:r>
        <w:rPr>
          <w:rFonts w:ascii="Arial" w:eastAsia="Times New Roman" w:hAnsi="Arial" w:cs="2  Titr"/>
          <w:color w:val="000000"/>
          <w:sz w:val="28"/>
          <w:szCs w:val="28"/>
          <w:rtl/>
        </w:rPr>
        <w:t>شناخت اخلاقی آل محمد</w:t>
      </w:r>
      <w:r>
        <w:rPr>
          <w:rFonts w:ascii="Arial" w:eastAsia="Times New Roman" w:hAnsi="Arial" w:cs="2  Titr" w:hint="cs"/>
          <w:color w:val="000000"/>
          <w:sz w:val="28"/>
          <w:szCs w:val="28"/>
          <w:rtl/>
        </w:rPr>
        <w:t>(ص)</w:t>
      </w:r>
      <w:r w:rsidRPr="00092A56">
        <w:rPr>
          <w:rFonts w:ascii="Arial" w:eastAsia="Times New Roman" w:hAnsi="Arial" w:cs="2  Titr"/>
          <w:color w:val="000000"/>
          <w:sz w:val="28"/>
          <w:szCs w:val="28"/>
          <w:rtl/>
        </w:rPr>
        <w:t>و الگوهای انسان کامل از نگاه علوی</w:t>
      </w:r>
    </w:p>
    <w:p w:rsidR="00942E4C" w:rsidRPr="00120A9D" w:rsidRDefault="00942E4C" w:rsidP="00A83DD0">
      <w:pPr>
        <w:rPr>
          <w:rFonts w:cs="2  Titr"/>
          <w:sz w:val="24"/>
          <w:szCs w:val="24"/>
          <w:rtl/>
          <w:lang w:bidi="fa-IR"/>
        </w:rPr>
      </w:pPr>
    </w:p>
    <w:sectPr w:rsidR="00942E4C" w:rsidRPr="00120A9D" w:rsidSect="008363EC">
      <w:pgSz w:w="12240" w:h="15840"/>
      <w:pgMar w:top="720" w:right="1440" w:bottom="9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349"/>
    <w:multiLevelType w:val="hybridMultilevel"/>
    <w:tmpl w:val="59B02CF4"/>
    <w:lvl w:ilvl="0" w:tplc="291466D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51D2"/>
    <w:multiLevelType w:val="hybridMultilevel"/>
    <w:tmpl w:val="64FC95C4"/>
    <w:lvl w:ilvl="0" w:tplc="AD1E0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6C37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6C9E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F0D6F"/>
    <w:multiLevelType w:val="hybridMultilevel"/>
    <w:tmpl w:val="20441EAA"/>
    <w:lvl w:ilvl="0" w:tplc="2EAE1E5C">
      <w:start w:val="1"/>
      <w:numFmt w:val="decimal"/>
      <w:lvlText w:val="%1-"/>
      <w:lvlJc w:val="left"/>
      <w:pPr>
        <w:ind w:left="930" w:hanging="720"/>
      </w:pPr>
      <w:rPr>
        <w:rFonts w:ascii="Cambria" w:hAnsi="Cambria" w:cs="Cambri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671269B8"/>
    <w:multiLevelType w:val="hybridMultilevel"/>
    <w:tmpl w:val="AAB8F964"/>
    <w:lvl w:ilvl="0" w:tplc="FE220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07ECD"/>
    <w:multiLevelType w:val="hybridMultilevel"/>
    <w:tmpl w:val="09D21800"/>
    <w:lvl w:ilvl="0" w:tplc="EE2EE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05533"/>
    <w:multiLevelType w:val="hybridMultilevel"/>
    <w:tmpl w:val="87E4D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9D"/>
    <w:rsid w:val="0001401C"/>
    <w:rsid w:val="00074A58"/>
    <w:rsid w:val="00120A9D"/>
    <w:rsid w:val="00234134"/>
    <w:rsid w:val="00241A35"/>
    <w:rsid w:val="002712F8"/>
    <w:rsid w:val="00336931"/>
    <w:rsid w:val="003F04B4"/>
    <w:rsid w:val="00536472"/>
    <w:rsid w:val="00565952"/>
    <w:rsid w:val="00596D8F"/>
    <w:rsid w:val="005E7D7C"/>
    <w:rsid w:val="0065064B"/>
    <w:rsid w:val="00706B86"/>
    <w:rsid w:val="00791DA8"/>
    <w:rsid w:val="007A7BD1"/>
    <w:rsid w:val="00806587"/>
    <w:rsid w:val="00816C35"/>
    <w:rsid w:val="008363EC"/>
    <w:rsid w:val="00862D05"/>
    <w:rsid w:val="0088068F"/>
    <w:rsid w:val="0088542B"/>
    <w:rsid w:val="009116CA"/>
    <w:rsid w:val="00932707"/>
    <w:rsid w:val="00942E4C"/>
    <w:rsid w:val="009C1A92"/>
    <w:rsid w:val="009F6983"/>
    <w:rsid w:val="00A075CB"/>
    <w:rsid w:val="00A814BB"/>
    <w:rsid w:val="00A83DD0"/>
    <w:rsid w:val="00A9481E"/>
    <w:rsid w:val="00BE75AF"/>
    <w:rsid w:val="00CA4184"/>
    <w:rsid w:val="00CD14C4"/>
    <w:rsid w:val="00DD53AA"/>
    <w:rsid w:val="00F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7093"/>
  <w15:chartTrackingRefBased/>
  <w15:docId w15:val="{FB8851AD-804D-4A24-8267-8BBB2CA5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4B4"/>
    <w:rPr>
      <w:b/>
      <w:bCs/>
    </w:rPr>
  </w:style>
  <w:style w:type="table" w:styleId="TableGrid">
    <w:name w:val="Table Grid"/>
    <w:basedOn w:val="TableNormal"/>
    <w:uiPriority w:val="39"/>
    <w:rsid w:val="0012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BAED-1613-41BC-99AF-1685DD76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Aghdas Beigi</dc:creator>
  <cp:keywords/>
  <dc:description/>
  <cp:lastModifiedBy>Aghdas Beigi</cp:lastModifiedBy>
  <cp:revision>8</cp:revision>
  <cp:lastPrinted>2021-11-15T09:14:00Z</cp:lastPrinted>
  <dcterms:created xsi:type="dcterms:W3CDTF">2021-11-14T05:08:00Z</dcterms:created>
  <dcterms:modified xsi:type="dcterms:W3CDTF">2021-11-15T09:15:00Z</dcterms:modified>
</cp:coreProperties>
</file>